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41B24758"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C73DE7">
        <w:rPr>
          <w:rFonts w:ascii="Cambria" w:hAnsi="Cambria"/>
          <w:b/>
          <w:bCs/>
        </w:rPr>
        <w:t>1</w:t>
      </w:r>
      <w:r w:rsidRPr="008E57BD">
        <w:rPr>
          <w:rFonts w:ascii="Cambria" w:hAnsi="Cambria"/>
          <w:b/>
          <w:bCs/>
        </w:rPr>
        <w:t xml:space="preserve"> 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02040B14"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(Zna</w:t>
      </w:r>
      <w:r w:rsidRPr="00D43286">
        <w:rPr>
          <w:rFonts w:ascii="Cambria" w:hAnsi="Cambria"/>
          <w:bCs/>
          <w:color w:val="000000" w:themeColor="text1"/>
        </w:rPr>
        <w:t xml:space="preserve">k </w:t>
      </w:r>
      <w:r w:rsidRPr="00BF30F1">
        <w:rPr>
          <w:rFonts w:ascii="Cambria" w:hAnsi="Cambria"/>
          <w:bCs/>
          <w:color w:val="000000" w:themeColor="text1"/>
        </w:rPr>
        <w:t>postępowania:</w:t>
      </w:r>
      <w:r w:rsidRPr="00BF30F1">
        <w:rPr>
          <w:rFonts w:ascii="Cambria" w:hAnsi="Cambria"/>
          <w:b/>
          <w:bCs/>
          <w:color w:val="000000" w:themeColor="text1"/>
        </w:rPr>
        <w:t xml:space="preserve"> </w:t>
      </w:r>
      <w:r w:rsidR="00CB4172">
        <w:rPr>
          <w:rFonts w:ascii="Cambria" w:hAnsi="Cambria"/>
          <w:b/>
          <w:bCs/>
          <w:color w:val="000000" w:themeColor="text1"/>
          <w:lang w:eastAsia="pl-PL"/>
        </w:rPr>
        <w:t>RI.271.2.4.2022</w:t>
      </w:r>
      <w:r w:rsidRPr="00BF30F1">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AEBAA84"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1426CB">
        <w:rPr>
          <w:rFonts w:ascii="Cambria" w:hAnsi="Cambria" w:cs="†¯øw≥¸"/>
          <w:b/>
          <w:bCs/>
        </w:rPr>
        <w:t>kotłów na biomasę</w:t>
      </w:r>
      <w:r w:rsidR="008726D0" w:rsidRPr="008726D0">
        <w:rPr>
          <w:rFonts w:ascii="Cambria" w:hAnsi="Cambria" w:cs="†¯øw≥¸"/>
          <w:b/>
          <w:bCs/>
        </w:rPr>
        <w:t xml:space="preserve"> na terenie </w:t>
      </w:r>
      <w:r w:rsidR="008726D0" w:rsidRPr="008726D0">
        <w:rPr>
          <w:rFonts w:ascii="Cambria" w:hAnsi="Cambria" w:cs="†¯øw≥¸"/>
          <w:b/>
          <w:bCs/>
        </w:rPr>
        <w:lastRenderedPageBreak/>
        <w:t xml:space="preserve">Gminy </w:t>
      </w:r>
      <w:r w:rsidR="00C73DE7">
        <w:rPr>
          <w:rFonts w:ascii="Cambria" w:hAnsi="Cambria" w:cs="†¯øw≥¸"/>
          <w:b/>
          <w:bCs/>
        </w:rPr>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7C4DEE5A" w14:textId="77777777" w:rsidR="00671E52" w:rsidRPr="00671E52" w:rsidRDefault="00671E52" w:rsidP="005C6D3E">
      <w:pPr>
        <w:pStyle w:val="Akapitzlist"/>
        <w:numPr>
          <w:ilvl w:val="0"/>
          <w:numId w:val="82"/>
        </w:numPr>
        <w:spacing w:line="276" w:lineRule="auto"/>
        <w:ind w:left="851" w:hanging="425"/>
        <w:jc w:val="both"/>
        <w:rPr>
          <w:rFonts w:ascii="Cambria" w:hAnsi="Cambria" w:cs="†¯øw≥¸"/>
          <w:color w:val="000000"/>
        </w:rPr>
      </w:pPr>
      <w:r w:rsidRPr="00671E52">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3D8BFFC" w14:textId="28287BD4"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E90B49">
        <w:rPr>
          <w:rFonts w:ascii="Cambria" w:hAnsi="Cambria" w:cs="Arial"/>
          <w:color w:val="000000"/>
        </w:rPr>
        <w:t xml:space="preserve">dostawę i montaż </w:t>
      </w:r>
      <w:r w:rsidRPr="008F3556">
        <w:rPr>
          <w:rFonts w:ascii="Cambria" w:hAnsi="Cambria" w:cs="†¯øw≥¸"/>
        </w:rPr>
        <w:t xml:space="preserve">w oparciu o posiadaną </w:t>
      </w:r>
      <w:r>
        <w:rPr>
          <w:rFonts w:ascii="Cambria" w:hAnsi="Cambria" w:cs="†¯øw≥¸"/>
        </w:rPr>
        <w:t xml:space="preserve">przez Zamawiającego </w:t>
      </w:r>
      <w:r w:rsidRPr="00BF12E7">
        <w:rPr>
          <w:rFonts w:ascii="Cambria" w:hAnsi="Cambria" w:cs="†¯øw≥¸"/>
        </w:rPr>
        <w:t xml:space="preserve">dokumentację </w:t>
      </w:r>
      <w:r>
        <w:rPr>
          <w:rFonts w:ascii="Cambria" w:hAnsi="Cambria" w:cs="†¯øw≥¸"/>
        </w:rPr>
        <w:br/>
      </w:r>
      <w:r>
        <w:rPr>
          <w:rFonts w:ascii="Cambria" w:hAnsi="Cambria" w:cs="Arial"/>
          <w:b/>
        </w:rPr>
        <w:t>44</w:t>
      </w:r>
      <w:r w:rsidRPr="00BF12E7">
        <w:rPr>
          <w:rFonts w:ascii="Cambria" w:hAnsi="Cambria" w:cs="Arial"/>
          <w:b/>
        </w:rPr>
        <w:t xml:space="preserve"> szt. kotłów</w:t>
      </w:r>
      <w:r w:rsidRPr="00BF12E7">
        <w:rPr>
          <w:rFonts w:ascii="Cambria" w:hAnsi="Cambria" w:cs="Arial"/>
          <w:b/>
          <w:color w:val="000000"/>
        </w:rPr>
        <w:t xml:space="preserve"> na biomasę</w:t>
      </w:r>
      <w:r>
        <w:rPr>
          <w:rFonts w:ascii="Cambria" w:hAnsi="Cambria" w:cs="Arial"/>
          <w:b/>
          <w:color w:val="000000"/>
        </w:rPr>
        <w:t xml:space="preserve"> (pellet)</w:t>
      </w:r>
      <w:r w:rsidRPr="00BF12E7">
        <w:rPr>
          <w:rFonts w:ascii="Cambria" w:hAnsi="Cambria" w:cs="Arial"/>
          <w:b/>
          <w:color w:val="000000"/>
        </w:rPr>
        <w:t xml:space="preserve"> </w:t>
      </w:r>
      <w:r w:rsidRPr="00BF12E7">
        <w:rPr>
          <w:rFonts w:ascii="Cambria" w:hAnsi="Cambria" w:cs="Arial"/>
          <w:color w:val="000000"/>
        </w:rPr>
        <w:t xml:space="preserve">w </w:t>
      </w:r>
      <w:r w:rsidRPr="00596BDD">
        <w:rPr>
          <w:rFonts w:ascii="Cambria" w:hAnsi="Cambria" w:cs="Arial"/>
          <w:bCs/>
          <w:color w:val="000000"/>
        </w:rPr>
        <w:t>budynkach prywatnych i użyteczności publicznej</w:t>
      </w:r>
      <w:r>
        <w:rPr>
          <w:rFonts w:ascii="Cambria" w:hAnsi="Cambria" w:cs="Arial"/>
          <w:color w:val="000000"/>
        </w:rPr>
        <w:t>,</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0DF936EA"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załączonym do SWZ opisie przedmiotu zamówienia instalacji kotłów na biomasę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2CD6C814"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Zarówno poszczególne kotły na biomasę,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2C4F21D8"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terminie </w:t>
      </w:r>
      <w:r w:rsidR="00CB4172">
        <w:rPr>
          <w:rFonts w:ascii="Cambria" w:hAnsi="Cambria" w:cs="†¯øw≥¸"/>
          <w:b/>
          <w:bCs/>
          <w:color w:val="000000" w:themeColor="text1"/>
        </w:rPr>
        <w:t>7</w:t>
      </w:r>
      <w:bookmarkStart w:id="0" w:name="_GoBack"/>
      <w:bookmarkEnd w:id="0"/>
      <w:r w:rsidR="003E5E9F">
        <w:rPr>
          <w:rFonts w:ascii="Cambria" w:hAnsi="Cambria" w:cs="†¯øw≥¸"/>
          <w:b/>
          <w:bCs/>
          <w:color w:val="000000" w:themeColor="text1"/>
        </w:rPr>
        <w:t xml:space="preserve"> </w:t>
      </w:r>
      <w:r w:rsidR="00A914FC" w:rsidRPr="00E67D50">
        <w:rPr>
          <w:rFonts w:ascii="Cambria" w:hAnsi="Cambria" w:cs="†¯øw≥¸"/>
          <w:b/>
          <w:bCs/>
          <w:color w:val="000000" w:themeColor="text1"/>
        </w:rPr>
        <w:t>miesięcy od dnia zawarcia umowy</w:t>
      </w:r>
      <w:r w:rsidR="00372950" w:rsidRPr="00E67D50">
        <w:rPr>
          <w:rFonts w:ascii="Cambria" w:hAnsi="Cambria" w:cs="†¯øw≥¸"/>
          <w:b/>
          <w:bCs/>
          <w:color w:val="000000" w:themeColor="text1"/>
        </w:rPr>
        <w:t xml:space="preserve"> tj. do dnia </w:t>
      </w:r>
      <w:r w:rsidR="00BF30F1">
        <w:rPr>
          <w:rFonts w:ascii="Cambria" w:hAnsi="Cambria" w:cs="†¯øw≥¸"/>
          <w:b/>
          <w:bCs/>
          <w:color w:val="000000" w:themeColor="text1"/>
        </w:rPr>
        <w:t>……………….</w:t>
      </w:r>
      <w:r w:rsidR="00DB0E74" w:rsidRPr="00E67D50">
        <w:rPr>
          <w:rFonts w:ascii="Cambria" w:hAnsi="Cambria" w:cs="†¯øw≥¸"/>
          <w:b/>
          <w:bCs/>
          <w:color w:val="000000" w:themeColor="text1"/>
        </w:rPr>
        <w:t xml:space="preserve"> r.</w:t>
      </w:r>
      <w:r w:rsidR="00A914FC" w:rsidRPr="00E67D50">
        <w:rPr>
          <w:rFonts w:ascii="Cambria" w:hAnsi="Cambria" w:cs="†¯øw≥¸"/>
          <w:color w:val="000000" w:themeColor="text1"/>
        </w:rPr>
        <w:t xml:space="preserve"> </w:t>
      </w:r>
      <w:r w:rsidR="00E67D50" w:rsidRPr="00E67D50">
        <w:rPr>
          <w:rFonts w:ascii="Cambria" w:hAnsi="Cambria" w:cs="Arial"/>
          <w:color w:val="000000" w:themeColor="text1"/>
          <w:u w:val="single"/>
        </w:rPr>
        <w:t>Za termin wykonania zamówienia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011A6F38"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1C50D5E3"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412614">
        <w:rPr>
          <w:rFonts w:ascii="Cambria" w:hAnsi="Cambria" w:cs="†¯øw≥¸"/>
          <w:color w:val="000000" w:themeColor="text1"/>
        </w:rPr>
        <w:t>przedmiotu umowy</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3676C242"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412614">
        <w:rPr>
          <w:rFonts w:ascii="Cambria" w:hAnsi="Cambria"/>
          <w:color w:val="000000" w:themeColor="text1"/>
        </w:rPr>
        <w:t xml:space="preserve">ego zakresu </w:t>
      </w:r>
      <w:r w:rsidRPr="00481046">
        <w:rPr>
          <w:rFonts w:ascii="Cambria" w:hAnsi="Cambria"/>
          <w:color w:val="000000" w:themeColor="text1"/>
        </w:rPr>
        <w:t xml:space="preserve">  niż wskazan</w:t>
      </w:r>
      <w:r w:rsidR="00412614">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05073F8A"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412614">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lastRenderedPageBreak/>
        <w:t>umowa podwykonawcza będzie sprzeczna z postanowieniami niniejszej umowy, 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34F847B6"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33E3DF92"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Umowy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283DFDE5"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565E476E" w14:textId="77777777" w:rsidR="00671E52" w:rsidRPr="00A95970" w:rsidRDefault="00671E52" w:rsidP="00671E52">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79E72631" w14:textId="77777777" w:rsidR="00671E52" w:rsidRPr="00A95970" w:rsidRDefault="00671E52" w:rsidP="00671E52">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0A6F7979"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CB4172">
        <w:rPr>
          <w:rFonts w:ascii="Cambria" w:hAnsi="Cambria" w:cs="†¯øw≥¸"/>
        </w:rPr>
        <w:t>(t. j. Dz. U. z 2021</w:t>
      </w:r>
      <w:r w:rsidRPr="00977C26">
        <w:rPr>
          <w:rFonts w:ascii="Cambria" w:hAnsi="Cambria" w:cs="†¯øw≥¸"/>
        </w:rPr>
        <w:t xml:space="preserve"> r., poz. </w:t>
      </w:r>
      <w:r w:rsidR="00CB4172">
        <w:rPr>
          <w:rFonts w:ascii="Cambria" w:hAnsi="Cambria" w:cs="†¯øw≥¸"/>
        </w:rPr>
        <w:t>779</w:t>
      </w:r>
      <w:r w:rsidRPr="00977C26">
        <w:rPr>
          <w:rFonts w:ascii="Cambria" w:hAnsi="Cambria" w:cs="†¯øw≥¸"/>
        </w:rPr>
        <w:t xml:space="preserve"> z późn. zm.) i ustawy z 27 kwietnia 2001 r. Prawo ochrony środowiska (t. j. Dz. U. z 20</w:t>
      </w:r>
      <w:r w:rsidR="00CB4172">
        <w:rPr>
          <w:rFonts w:ascii="Cambria" w:hAnsi="Cambria" w:cs="†¯øw≥¸"/>
        </w:rPr>
        <w:t>21</w:t>
      </w:r>
      <w:r w:rsidRPr="00977C26">
        <w:rPr>
          <w:rFonts w:ascii="Cambria" w:hAnsi="Cambria" w:cs="†¯øw≥¸"/>
        </w:rPr>
        <w:t xml:space="preserve"> r. poz. </w:t>
      </w:r>
      <w:r>
        <w:rPr>
          <w:rFonts w:ascii="Cambria" w:hAnsi="Cambria" w:cs="†¯øw≥¸"/>
        </w:rPr>
        <w:t>1</w:t>
      </w:r>
      <w:r w:rsidR="00CB4172">
        <w:rPr>
          <w:rFonts w:ascii="Cambria" w:hAnsi="Cambria" w:cs="†¯øw≥¸"/>
        </w:rPr>
        <w:t>973</w:t>
      </w:r>
      <w:r w:rsidR="005D67FE">
        <w:rPr>
          <w:rFonts w:ascii="Cambria" w:hAnsi="Cambria" w:cs="†¯øw≥¸"/>
        </w:rPr>
        <w:t xml:space="preserve">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2493380A"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sidR="00CB4172">
        <w:rPr>
          <w:rFonts w:ascii="Cambria" w:eastAsia="Times New Roman" w:hAnsi="Cambria"/>
          <w:color w:val="000000"/>
        </w:rPr>
        <w:t>21</w:t>
      </w:r>
      <w:r w:rsidRPr="00037033">
        <w:rPr>
          <w:rFonts w:ascii="Cambria" w:eastAsia="Times New Roman" w:hAnsi="Cambria"/>
          <w:color w:val="000000"/>
        </w:rPr>
        <w:t xml:space="preserve"> r. poz. </w:t>
      </w:r>
      <w:r w:rsidR="00CB4172">
        <w:rPr>
          <w:rFonts w:ascii="Cambria" w:eastAsia="Times New Roman" w:hAnsi="Cambria"/>
          <w:color w:val="000000"/>
        </w:rPr>
        <w:t>2351</w:t>
      </w:r>
      <w:r>
        <w:rPr>
          <w:rFonts w:ascii="Cambria" w:eastAsia="Times New Roman" w:hAnsi="Cambria"/>
          <w:color w:val="000000"/>
        </w:rPr>
        <w:t xml:space="preserve">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W przypadku niewypełnienia przez Wykonawcę obowiązków wskazanych w ust. 3.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4804B556"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16ED0F81" w14:textId="071401F5" w:rsidR="00671E52" w:rsidRPr="005C6D3E" w:rsidRDefault="00F80774" w:rsidP="00671E5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sidR="006723D7">
        <w:rPr>
          <w:rFonts w:ascii="Cambria" w:hAnsi="Cambria" w:cs="†¯øw≥¸"/>
          <w:bCs/>
        </w:rPr>
        <w:t xml:space="preserve"> plus </w:t>
      </w:r>
      <w:r w:rsidRPr="006723D7">
        <w:rPr>
          <w:rFonts w:ascii="Cambria" w:hAnsi="Cambria" w:cs="†¯øw≥¸"/>
          <w:bCs/>
        </w:rPr>
        <w:t xml:space="preserve">podatek VAT </w:t>
      </w:r>
      <w:r w:rsidR="00DB0E74">
        <w:rPr>
          <w:rFonts w:ascii="Cambria" w:hAnsi="Cambria" w:cs="†¯øw≥¸"/>
          <w:bCs/>
        </w:rPr>
        <w:t>8</w:t>
      </w:r>
      <w:r w:rsidR="006723D7" w:rsidRPr="006723D7">
        <w:rPr>
          <w:rFonts w:ascii="Cambria" w:hAnsi="Cambria" w:cs="†¯øw≥¸"/>
          <w:bCs/>
        </w:rPr>
        <w:t xml:space="preserve"> </w:t>
      </w:r>
      <w:r w:rsidRPr="006723D7">
        <w:rPr>
          <w:rFonts w:ascii="Cambria" w:hAnsi="Cambria" w:cs="†¯øw≥¸"/>
          <w:bCs/>
        </w:rPr>
        <w:t xml:space="preserve">% </w:t>
      </w:r>
      <w:r w:rsidR="00921C9F" w:rsidRPr="006723D7">
        <w:rPr>
          <w:rFonts w:ascii="Cambria" w:hAnsi="Cambria" w:cs="†¯øw≥¸"/>
          <w:bCs/>
        </w:rPr>
        <w:t>w kwocie ……………..…… zł</w:t>
      </w:r>
      <w:r w:rsidR="00C73DE7">
        <w:rPr>
          <w:rFonts w:ascii="Cambria" w:hAnsi="Cambria" w:cs="†¯øw≥¸"/>
          <w:bCs/>
        </w:rPr>
        <w:t xml:space="preserve"> i podatek </w:t>
      </w:r>
      <w:r w:rsidR="00C73DE7" w:rsidRPr="006723D7">
        <w:rPr>
          <w:rFonts w:ascii="Cambria" w:hAnsi="Cambria" w:cs="†¯øw≥¸"/>
          <w:bCs/>
        </w:rPr>
        <w:t xml:space="preserve">VAT </w:t>
      </w:r>
      <w:r w:rsidR="00C73DE7">
        <w:rPr>
          <w:rFonts w:ascii="Cambria" w:hAnsi="Cambria" w:cs="†¯øw≥¸"/>
          <w:bCs/>
        </w:rPr>
        <w:t>23</w:t>
      </w:r>
      <w:r w:rsidR="00C73DE7" w:rsidRPr="006723D7">
        <w:rPr>
          <w:rFonts w:ascii="Cambria" w:hAnsi="Cambria" w:cs="†¯øw≥¸"/>
          <w:bCs/>
        </w:rPr>
        <w:t xml:space="preserve"> % w kwocie ……………..…… zł</w:t>
      </w:r>
      <w:r w:rsidRPr="006723D7">
        <w:rPr>
          <w:rFonts w:ascii="Cambria" w:hAnsi="Cambria" w:cs="†¯øw≥¸"/>
          <w:bCs/>
        </w:rPr>
        <w:t xml:space="preserve">, </w:t>
      </w:r>
      <w:r w:rsidR="00671E52" w:rsidRPr="005C6D3E">
        <w:rPr>
          <w:rFonts w:ascii="Cambria" w:hAnsi="Cambria" w:cs="†¯øw≥¸"/>
          <w:bCs/>
        </w:rPr>
        <w:t xml:space="preserve">łącznie </w:t>
      </w:r>
      <w:r w:rsidR="00671E52"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65DB98DC" w:rsidR="006E12CE"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r w:rsidR="006723D7">
        <w:rPr>
          <w:rFonts w:ascii="Cambria" w:hAnsi="Cambria" w:cs="†¯øw≥¸"/>
          <w:color w:val="000000" w:themeColor="text1"/>
        </w:rPr>
        <w:t xml:space="preserve"> – </w:t>
      </w:r>
      <w:r w:rsidR="006723D7" w:rsidRPr="00DB0E74">
        <w:rPr>
          <w:rFonts w:ascii="Cambria" w:hAnsi="Cambria" w:cs="†¯øw≥¸"/>
          <w:b/>
          <w:bCs/>
          <w:color w:val="000000" w:themeColor="text1"/>
        </w:rPr>
        <w:t xml:space="preserve">nie mniej niż za </w:t>
      </w:r>
      <w:r w:rsidR="00E35A84">
        <w:rPr>
          <w:rFonts w:ascii="Cambria" w:hAnsi="Cambria" w:cs="†¯øw≥¸"/>
          <w:b/>
          <w:bCs/>
          <w:color w:val="000000" w:themeColor="text1"/>
        </w:rPr>
        <w:t xml:space="preserve">44 </w:t>
      </w:r>
      <w:r w:rsidR="006723D7" w:rsidRPr="00DB0E74">
        <w:rPr>
          <w:rFonts w:ascii="Cambria" w:hAnsi="Cambria" w:cs="†¯øw≥¸"/>
          <w:b/>
          <w:bCs/>
          <w:color w:val="000000" w:themeColor="text1"/>
        </w:rPr>
        <w:t>instalacji</w:t>
      </w:r>
      <w:r w:rsidRPr="00DB0E74">
        <w:rPr>
          <w:rFonts w:ascii="Cambria" w:hAnsi="Cambria" w:cs="†¯øw≥¸"/>
          <w:b/>
          <w:bCs/>
          <w:color w:val="000000" w:themeColor="text1"/>
        </w:rPr>
        <w:t>.</w:t>
      </w:r>
      <w:r w:rsidR="006723D7">
        <w:rPr>
          <w:rFonts w:ascii="Cambria" w:hAnsi="Cambria" w:cs="†¯øw≥¸"/>
          <w:color w:val="000000" w:themeColor="text1"/>
        </w:rPr>
        <w:t xml:space="preserve"> </w:t>
      </w:r>
    </w:p>
    <w:p w14:paraId="06225F44" w14:textId="64C9C7EC" w:rsidR="006E12CE"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po zakończeniu realizacji umowy przestawia kosztorys powykonawczy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6088177F"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Rozliczanie</w:t>
      </w:r>
      <w:r w:rsidR="001B3B5C">
        <w:rPr>
          <w:rFonts w:ascii="Cambria" w:hAnsi="Cambria" w:cs="Tahoma"/>
          <w:color w:val="000000"/>
        </w:rPr>
        <w:t xml:space="preserve"> wykonania przedmiotu umowy</w:t>
      </w:r>
      <w:r w:rsidRPr="005F051E">
        <w:rPr>
          <w:rFonts w:ascii="Cambria" w:hAnsi="Cambria" w:cs="Tahoma"/>
          <w:color w:val="000000"/>
        </w:rPr>
        <w:t xml:space="preserve"> 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BF30F1">
        <w:rPr>
          <w:rFonts w:ascii="Cambria" w:hAnsi="Cambria" w:cs="Tahoma"/>
          <w:b/>
          <w:color w:val="000000"/>
        </w:rPr>
        <w:t>.</w:t>
      </w:r>
    </w:p>
    <w:p w14:paraId="2F5F65C4" w14:textId="6B989529"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Płatność</w:t>
      </w:r>
      <w:r w:rsidR="001B3B5C">
        <w:rPr>
          <w:rFonts w:ascii="Cambria" w:hAnsi="Cambria" w:cs="†¯øw≥¸"/>
          <w:color w:val="000000" w:themeColor="text1"/>
        </w:rPr>
        <w:t xml:space="preserve"> </w:t>
      </w:r>
      <w:r w:rsidRPr="00463419">
        <w:rPr>
          <w:rFonts w:ascii="Cambria" w:hAnsi="Cambria" w:cs="†¯øw≥¸"/>
          <w:color w:val="000000" w:themeColor="text1"/>
        </w:rPr>
        <w:t xml:space="preserve">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579F457F"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1B3B5C">
        <w:rPr>
          <w:rFonts w:ascii="Cambria" w:eastAsia="Calibri" w:hAnsi="Cambria" w:cs="ArialNarrow"/>
        </w:rPr>
        <w:t>korekty faktury</w:t>
      </w:r>
      <w:r w:rsidRPr="00463419">
        <w:rPr>
          <w:rFonts w:ascii="Cambria" w:eastAsia="Calibri" w:hAnsi="Cambria" w:cs="ArialNarrow"/>
        </w:rPr>
        <w:t>.</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1439FFDE"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10199C40"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081A4E2E"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CB4172">
        <w:rPr>
          <w:rFonts w:ascii="Cambria" w:hAnsi="Cambria"/>
        </w:rPr>
        <w:t>t. j. Dz. U. z 2021 r., poz. 2095</w:t>
      </w:r>
      <w:r w:rsidR="001001D3" w:rsidRPr="006F2BD3">
        <w:rPr>
          <w:rFonts w:ascii="Cambria" w:hAnsi="Cambria"/>
        </w:rPr>
        <w:t xml:space="preserve">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28D3E8E1"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1B3B5C">
        <w:rPr>
          <w:rFonts w:ascii="Cambria" w:hAnsi="Cambria" w:cs="†¯øw≥¸"/>
          <w:b/>
          <w:color w:val="000000" w:themeColor="text1"/>
        </w:rPr>
        <w:t xml:space="preserve">jeden odbiór przedmiotu umowy </w:t>
      </w:r>
      <w:r w:rsidR="00037033" w:rsidRPr="00F13646">
        <w:rPr>
          <w:rFonts w:ascii="Cambria" w:hAnsi="Cambria" w:cs="†¯øw≥¸"/>
          <w:color w:val="000000" w:themeColor="text1"/>
        </w:rPr>
        <w:t xml:space="preserve"> obejmujący</w:t>
      </w:r>
      <w:r w:rsidR="001B3B5C">
        <w:rPr>
          <w:rFonts w:ascii="Cambria" w:hAnsi="Cambria" w:cs="†¯øw≥¸"/>
          <w:color w:val="000000" w:themeColor="text1"/>
        </w:rPr>
        <w:t xml:space="preserve"> </w:t>
      </w:r>
      <w:r w:rsidR="00037033" w:rsidRPr="00F13646">
        <w:rPr>
          <w:rFonts w:ascii="Cambria" w:hAnsi="Cambria" w:cs="†¯øw≥¸"/>
          <w:color w:val="000000" w:themeColor="text1"/>
        </w:rPr>
        <w:t>zakres niezbędn</w:t>
      </w:r>
      <w:r w:rsidR="001B3B5C">
        <w:rPr>
          <w:rFonts w:ascii="Cambria" w:hAnsi="Cambria" w:cs="†¯øw≥¸"/>
          <w:color w:val="000000" w:themeColor="text1"/>
        </w:rPr>
        <w:t>y</w:t>
      </w:r>
      <w:r w:rsidR="00037033" w:rsidRPr="00F13646">
        <w:rPr>
          <w:rFonts w:ascii="Cambria" w:hAnsi="Cambria" w:cs="†¯øw≥¸"/>
          <w:color w:val="000000" w:themeColor="text1"/>
        </w:rPr>
        <w:t xml:space="preserve"> do wystawienia faktury</w:t>
      </w:r>
      <w:r w:rsidR="001B3B5C">
        <w:rPr>
          <w:rFonts w:ascii="Cambria" w:hAnsi="Cambria" w:cs="†¯øw≥¸"/>
          <w:color w:val="000000" w:themeColor="text1"/>
        </w:rPr>
        <w:t xml:space="preserve"> </w:t>
      </w:r>
      <w:r w:rsidR="00037033" w:rsidRPr="00F13646">
        <w:rPr>
          <w:rFonts w:ascii="Cambria" w:hAnsi="Cambria" w:cs="†¯øw≥¸"/>
          <w:color w:val="000000" w:themeColor="text1"/>
        </w:rPr>
        <w:t xml:space="preserve">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zgłoszenia gotowości do odbioru po usunięciu wad istotnych. Ust. 2 stosuje się odpowiednio. </w:t>
      </w:r>
    </w:p>
    <w:p w14:paraId="3B601334" w14:textId="6499CA84"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7AFB0E6E"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Termin odbioru</w:t>
      </w:r>
      <w:r w:rsidR="00117AFD">
        <w:rPr>
          <w:rFonts w:ascii="Cambria" w:hAnsi="Cambria" w:cs="†¯øw≥¸"/>
          <w:bCs/>
        </w:rPr>
        <w:t xml:space="preserve"> </w:t>
      </w:r>
      <w:r w:rsidRPr="00607C83">
        <w:rPr>
          <w:rFonts w:ascii="Cambria" w:hAnsi="Cambria" w:cs="†¯øw≥¸"/>
          <w:bCs/>
        </w:rPr>
        <w:t xml:space="preserve">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prac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D3B22BC"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19E08AD4"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sidR="00117AFD">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563AA8A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W momencie odbioru</w:t>
      </w:r>
      <w:r w:rsidR="00117AFD">
        <w:rPr>
          <w:rFonts w:ascii="Cambria" w:hAnsi="Cambria" w:cs="†¯øw≥¸"/>
          <w:b/>
        </w:rPr>
        <w:t xml:space="preserve">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221273BA" w14:textId="77777777" w:rsidR="008B0AE7" w:rsidRPr="00317ECD" w:rsidRDefault="008B0AE7" w:rsidP="008B0AE7">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8EE7552" w14:textId="77777777" w:rsidR="008B0AE7" w:rsidRPr="00606EB7" w:rsidRDefault="008B0AE7" w:rsidP="008B0AE7">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2F17A0F5"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3886AC7F" w14:textId="77777777" w:rsidR="008B0AE7" w:rsidRPr="00671E52" w:rsidRDefault="008B0AE7" w:rsidP="00671E52">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219467A5" w14:textId="753D38A1"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zwłokę</w:t>
      </w:r>
      <w:r w:rsidRPr="00671E52">
        <w:rPr>
          <w:rFonts w:ascii="Cambria" w:hAnsi="Cambria" w:cs="†¯øw≥¸"/>
          <w:color w:val="000000" w:themeColor="text1"/>
        </w:rPr>
        <w:t xml:space="preserve"> w wykonaniu zamówienia w wysokości</w:t>
      </w:r>
      <w:r w:rsidR="00424D5C" w:rsidRPr="00671E52">
        <w:rPr>
          <w:rFonts w:ascii="Cambria" w:hAnsi="Cambria" w:cs="†¯øw≥¸"/>
          <w:color w:val="000000" w:themeColor="text1"/>
        </w:rPr>
        <w:t xml:space="preserve"> 0,3</w:t>
      </w:r>
      <w:r w:rsidRPr="00671E52">
        <w:rPr>
          <w:rFonts w:ascii="Cambria" w:hAnsi="Cambria" w:cs="†¯øw≥¸"/>
          <w:color w:val="000000" w:themeColor="text1"/>
        </w:rPr>
        <w:t xml:space="preserve"> % ustalonego w § 9 ust. 2 wynagrodzenia umownego brutto – liczonego za każdy dzień </w:t>
      </w:r>
      <w:r w:rsidR="00671E52" w:rsidRPr="00671E52">
        <w:rPr>
          <w:rFonts w:ascii="Cambria" w:hAnsi="Cambria" w:cs="†¯øw≥¸"/>
          <w:color w:val="000000" w:themeColor="text1"/>
        </w:rPr>
        <w:t>zwłoki</w:t>
      </w:r>
      <w:r w:rsidRPr="00671E52">
        <w:rPr>
          <w:rFonts w:ascii="Cambria" w:hAnsi="Cambria" w:cs="†¯øw≥¸"/>
          <w:color w:val="000000" w:themeColor="text1"/>
        </w:rPr>
        <w:t xml:space="preserve"> w stosunku od terminu wskazanego w § 2,</w:t>
      </w:r>
    </w:p>
    <w:p w14:paraId="5558E0CF" w14:textId="590FFB4F"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 xml:space="preserve">zwłokę </w:t>
      </w:r>
      <w:r w:rsidRPr="00671E52">
        <w:rPr>
          <w:rFonts w:ascii="Cambria" w:hAnsi="Cambria" w:cs="†¯øw≥¸"/>
          <w:color w:val="000000" w:themeColor="text1"/>
        </w:rPr>
        <w:t xml:space="preserve">w usunięciu usterek stwierdzonych przy odbiorze w wysokości </w:t>
      </w:r>
      <w:r w:rsidR="00424D5C" w:rsidRPr="00671E52">
        <w:rPr>
          <w:rFonts w:ascii="Cambria" w:hAnsi="Cambria" w:cs="†¯øw≥¸"/>
          <w:color w:val="000000" w:themeColor="text1"/>
        </w:rPr>
        <w:t>0,01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ustalonego w § 9 ust. 2 wynagrodzenia umownego brutto – liczonego za każdy dzień </w:t>
      </w:r>
      <w:r w:rsidR="00671E52" w:rsidRPr="00671E52">
        <w:rPr>
          <w:rFonts w:ascii="Cambria" w:hAnsi="Cambria" w:cs="†¯øw≥¸"/>
          <w:color w:val="000000" w:themeColor="text1"/>
        </w:rPr>
        <w:t>zwłoki</w:t>
      </w:r>
      <w:r w:rsidRPr="00671E52">
        <w:rPr>
          <w:rFonts w:ascii="Cambria" w:hAnsi="Cambria" w:cs="†¯øw≥¸"/>
          <w:color w:val="000000" w:themeColor="text1"/>
        </w:rPr>
        <w:t xml:space="preserve"> w stosunku od terminu wskazanego przez zamawiającego na usunięcie wad,</w:t>
      </w:r>
    </w:p>
    <w:p w14:paraId="000FAA00" w14:textId="20980ED1" w:rsidR="00BD52C7" w:rsidRPr="00671E52" w:rsidRDefault="00BD52C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zwłokę</w:t>
      </w:r>
      <w:r w:rsidRPr="00671E52">
        <w:rPr>
          <w:rFonts w:ascii="Cambria" w:hAnsi="Cambria" w:cs="†¯øw≥¸"/>
          <w:color w:val="000000" w:themeColor="text1"/>
        </w:rPr>
        <w:t xml:space="preserve"> w dokonaniu przeglądu gwarancyjnego ponad 30 dni o którym mowa w § 15 a ust. 1 w wysokości </w:t>
      </w:r>
      <w:r w:rsidR="00C95812" w:rsidRPr="00671E52">
        <w:rPr>
          <w:rFonts w:ascii="Cambria" w:hAnsi="Cambria" w:cs="†¯øw≥¸"/>
          <w:color w:val="000000" w:themeColor="text1"/>
        </w:rPr>
        <w:t>0,5</w:t>
      </w:r>
      <w:r w:rsidRPr="00671E52">
        <w:rPr>
          <w:rFonts w:ascii="Cambria" w:hAnsi="Cambria" w:cs="†¯øw≥¸"/>
          <w:color w:val="000000" w:themeColor="text1"/>
        </w:rPr>
        <w:t xml:space="preserve"> % ustalonego w § 9 ust. 2 wynagrodzenia umownego brutto – liczonego za każdy dzień </w:t>
      </w:r>
      <w:r w:rsidR="00671E52" w:rsidRPr="00671E52">
        <w:rPr>
          <w:rFonts w:ascii="Cambria" w:hAnsi="Cambria" w:cs="†¯øw≥¸"/>
          <w:color w:val="000000" w:themeColor="text1"/>
        </w:rPr>
        <w:t>zwłoki,</w:t>
      </w:r>
    </w:p>
    <w:p w14:paraId="4DB5440F" w14:textId="047D3A47"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 xml:space="preserve">w wysokości </w:t>
      </w:r>
      <w:r w:rsidR="00424D5C" w:rsidRPr="00671E52">
        <w:rPr>
          <w:rFonts w:ascii="Cambria" w:hAnsi="Cambria" w:cs="†¯øw≥¸"/>
          <w:color w:val="000000" w:themeColor="text1"/>
        </w:rPr>
        <w:t>10</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 ustalonego w § 9 ust. 2 wynagrodzenia umownego brutto.</w:t>
      </w:r>
    </w:p>
    <w:p w14:paraId="3E00CBA4" w14:textId="53315ACF"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r>
      <w:r w:rsidR="00424D5C" w:rsidRPr="00671E52">
        <w:rPr>
          <w:rFonts w:ascii="Cambria" w:hAnsi="Cambria" w:cs="†¯øw≥¸"/>
          <w:color w:val="000000" w:themeColor="text1"/>
        </w:rPr>
        <w:t>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 ustalonego w § 9 ust. 2 wynagrodzenia umownego brutto. </w:t>
      </w:r>
    </w:p>
    <w:p w14:paraId="3F912466" w14:textId="62BD5026"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00424D5C" w:rsidRPr="00671E52">
        <w:rPr>
          <w:rFonts w:ascii="Cambria" w:hAnsi="Cambria" w:cs="†¯øw≥¸"/>
          <w:color w:val="000000" w:themeColor="text1"/>
        </w:rPr>
        <w:t>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3E2E4462" w14:textId="5362822C"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00424D5C" w:rsidRPr="00671E52">
        <w:rPr>
          <w:rFonts w:ascii="Cambria" w:hAnsi="Cambria" w:cs="†¯øw≥¸"/>
          <w:color w:val="000000" w:themeColor="text1"/>
        </w:rPr>
        <w:t>0,5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w:t>
      </w:r>
      <w:r w:rsidR="00671E52" w:rsidRPr="00671E52">
        <w:rPr>
          <w:rFonts w:ascii="Cambria" w:hAnsi="Cambria"/>
          <w:snapToGrid w:val="0"/>
          <w:color w:val="000000" w:themeColor="text1"/>
        </w:rPr>
        <w:t>zwłoki</w:t>
      </w:r>
      <w:r w:rsidRPr="00671E52">
        <w:rPr>
          <w:rFonts w:ascii="Cambria" w:hAnsi="Cambria"/>
          <w:snapToGrid w:val="0"/>
          <w:color w:val="000000" w:themeColor="text1"/>
        </w:rPr>
        <w:t>;</w:t>
      </w:r>
    </w:p>
    <w:p w14:paraId="10022996" w14:textId="0528BCE9"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3E022BFF" w14:textId="06E3F1D7"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poświadczonej za zgodność z oryginałem kopii umowy o podwykonawstwo 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745E9A91" w14:textId="71C18B9C"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zmiany umowy o podwykonawstwo w zakresie terminu zapłaty </w:t>
      </w:r>
      <w:r w:rsidRPr="00671E52">
        <w:rPr>
          <w:rFonts w:ascii="Cambria" w:hAnsi="Cambria"/>
          <w:snapToGrid w:val="0"/>
          <w:color w:val="000000" w:themeColor="text1"/>
        </w:rPr>
        <w:br/>
        <w:t xml:space="preserve">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6C5CB112" w14:textId="2915DCF4" w:rsidR="008B0AE7" w:rsidRPr="00671E52" w:rsidRDefault="008B0AE7" w:rsidP="00671E52">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001C659D" w:rsidRPr="00671E52">
        <w:rPr>
          <w:rFonts w:ascii="Cambria" w:hAnsi="Cambria" w:cs="†¯øw≥¸"/>
          <w:color w:val="000000" w:themeColor="text1"/>
        </w:rPr>
        <w:t>10</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3B01FE3E"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5683705B"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0B7A391D"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71E50D23"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775141">
        <w:rPr>
          <w:rFonts w:ascii="Cambria" w:hAnsi="Cambria"/>
        </w:rPr>
        <w:t xml:space="preserve">wykonanie </w:t>
      </w:r>
      <w:r w:rsidRPr="00035DA9">
        <w:rPr>
          <w:rFonts w:ascii="Cambria" w:hAnsi="Cambria"/>
        </w:rPr>
        <w:t>całoś</w:t>
      </w:r>
      <w:r w:rsidR="00775141">
        <w:rPr>
          <w:rFonts w:ascii="Cambria" w:hAnsi="Cambria"/>
        </w:rPr>
        <w:t xml:space="preserve">ci </w:t>
      </w:r>
      <w:r w:rsidRPr="00035DA9">
        <w:rPr>
          <w:rFonts w:ascii="Cambria" w:hAnsi="Cambria"/>
        </w:rPr>
        <w:t>przedmiotu zamówienia, w tym także za części realizowane przez podwykonawców. Termin gwarancji wynosi:</w:t>
      </w:r>
    </w:p>
    <w:p w14:paraId="7B8222E6" w14:textId="7B35E661"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kotły na biomasę </w:t>
      </w:r>
      <w:r>
        <w:rPr>
          <w:rFonts w:ascii="Cambria" w:eastAsia="TimesNewRoman" w:hAnsi="Cambria"/>
          <w:bCs/>
          <w:color w:val="000000" w:themeColor="text1"/>
        </w:rPr>
        <w:t xml:space="preserve">– minimum </w:t>
      </w:r>
      <w:r w:rsidR="0021096D">
        <w:rPr>
          <w:rFonts w:ascii="Cambria" w:eastAsia="TimesNewRoman" w:hAnsi="Cambria"/>
          <w:b/>
          <w:bCs/>
          <w:color w:val="000000" w:themeColor="text1"/>
        </w:rPr>
        <w:t>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4A81C073" w14:textId="5DD42261"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21096D">
        <w:rPr>
          <w:rFonts w:ascii="Cambria" w:eastAsia="TimesNewRoman" w:hAnsi="Cambria"/>
          <w:b/>
          <w:color w:val="000000" w:themeColor="text1"/>
        </w:rPr>
        <w:t>60 miesięcy</w:t>
      </w:r>
      <w:r>
        <w:rPr>
          <w:rFonts w:ascii="Cambria" w:eastAsia="TimesNewRoman" w:hAnsi="Cambria"/>
          <w:color w:val="000000" w:themeColor="text1"/>
        </w:rPr>
        <w:t xml:space="preserve"> liczonych zgodnie z ust.7, </w:t>
      </w:r>
    </w:p>
    <w:p w14:paraId="6EC0CF05" w14:textId="2D23A581"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C73DE7" w:rsidRPr="00C73DE7">
        <w:rPr>
          <w:rFonts w:ascii="Cambria" w:eastAsia="TimesNewRoman" w:hAnsi="Cambria"/>
          <w:b/>
          <w:color w:val="000000" w:themeColor="text1"/>
        </w:rPr>
        <w:t xml:space="preserve"> </w:t>
      </w:r>
      <w:r w:rsidR="0021096D">
        <w:rPr>
          <w:rFonts w:ascii="Cambria" w:eastAsia="TimesNewRoman" w:hAnsi="Cambria"/>
          <w:b/>
          <w:color w:val="000000" w:themeColor="text1"/>
        </w:rPr>
        <w:t>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d dnia odbioru 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4B91204D"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19910D08"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w:t>
      </w:r>
      <w:r w:rsidR="002179EE">
        <w:rPr>
          <w:rFonts w:ascii="Cambria" w:eastAsia="Times New Roman" w:hAnsi="Cambria"/>
          <w:color w:val="000000" w:themeColor="text1"/>
          <w:lang w:eastAsia="ar-SA"/>
        </w:rPr>
        <w:t>i</w:t>
      </w:r>
      <w:r>
        <w:rPr>
          <w:rFonts w:ascii="Cambria" w:eastAsia="Times New Roman" w:hAnsi="Cambria"/>
          <w:color w:val="000000" w:themeColor="text1"/>
          <w:lang w:eastAsia="ar-SA"/>
        </w:rPr>
        <w:t xml:space="preserve">a odbioru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E7BF9BC"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 xml:space="preserve">sprawdzenie szczelności obiegów wodnych oraz instalacji. </w:t>
      </w:r>
    </w:p>
    <w:p w14:paraId="05288DB9"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sprawdzenie urządzeń zabezpieczających.</w:t>
      </w:r>
    </w:p>
    <w:p w14:paraId="7FD19F4F"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sprawdzenie ciśnienia w naczyniu wzbiorczym.</w:t>
      </w:r>
    </w:p>
    <w:p w14:paraId="27D9A73E"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inne czynności zalecane przez producenta i wskazane w OPZ.</w:t>
      </w:r>
    </w:p>
    <w:p w14:paraId="4C2D9092" w14:textId="77777777" w:rsidR="00092086" w:rsidRDefault="00092086"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12F546CF"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w:t>
      </w:r>
      <w:r w:rsidR="00CB4172">
        <w:rPr>
          <w:rFonts w:ascii="Cambria" w:hAnsi="Cambria" w:cs="Arial"/>
          <w:bCs/>
          <w:color w:val="000000"/>
        </w:rPr>
        <w:t xml:space="preserve"> Wykonawcą na podstawie art. 455</w:t>
      </w:r>
      <w:r w:rsidRPr="000D7B04">
        <w:rPr>
          <w:rFonts w:ascii="Cambria" w:hAnsi="Cambria" w:cs="Arial"/>
          <w:bCs/>
          <w:color w:val="000000"/>
        </w:rPr>
        <w:t xml:space="preserve">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2EE131DD"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CB4172">
        <w:rPr>
          <w:rFonts w:ascii="Cambria" w:hAnsi="Cambria" w:cs="†¯øw≥¸"/>
          <w:color w:val="000000" w:themeColor="text1"/>
        </w:rPr>
        <w:t xml:space="preserve"> na podstawie art. 455</w:t>
      </w:r>
      <w:r w:rsidR="005A192F" w:rsidRPr="00F80774">
        <w:rPr>
          <w:rFonts w:ascii="Cambria" w:hAnsi="Cambria" w:cs="†¯øw≥¸"/>
          <w:color w:val="000000" w:themeColor="text1"/>
        </w:rPr>
        <w:t xml:space="preserve">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1FE9FD15"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 przypadku niewykonania przez wykonawcę obowiązków wskazanych w ust. 3 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78B56E1" w:rsidR="00327EFD" w:rsidRDefault="00327EFD" w:rsidP="00520EAE">
      <w:pPr>
        <w:spacing w:line="276" w:lineRule="auto"/>
        <w:jc w:val="center"/>
        <w:rPr>
          <w:rFonts w:ascii="Cambria" w:hAnsi="Cambria"/>
          <w:b/>
          <w:bCs/>
          <w:color w:val="000000" w:themeColor="text1"/>
        </w:rPr>
      </w:pPr>
    </w:p>
    <w:p w14:paraId="4790D86B" w14:textId="2F6CD33C" w:rsidR="00680CA8" w:rsidRDefault="00680CA8" w:rsidP="00520EAE">
      <w:pPr>
        <w:spacing w:line="276" w:lineRule="auto"/>
        <w:jc w:val="center"/>
        <w:rPr>
          <w:rFonts w:ascii="Cambria" w:hAnsi="Cambria"/>
          <w:b/>
          <w:bCs/>
          <w:color w:val="000000" w:themeColor="text1"/>
        </w:rPr>
      </w:pPr>
    </w:p>
    <w:p w14:paraId="7CF06DEC" w14:textId="77777777" w:rsidR="00680CA8" w:rsidRDefault="00680CA8"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6CADA453"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DATA ODBIORU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32FA9129"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92086">
        <w:rPr>
          <w:rFonts w:ascii="Cambria" w:hAnsi="Cambria" w:cs="†¯øw≥¸"/>
          <w:b/>
          <w:bCs/>
        </w:rPr>
        <w:t>kotłów na biomasę</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5C85FBBD"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3C728CD" w14:textId="3858820F"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542F68E" w14:textId="60FB379D"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91F8E" w14:textId="77777777" w:rsidR="00F459D0" w:rsidRDefault="00F459D0" w:rsidP="00F14FE5">
      <w:r>
        <w:separator/>
      </w:r>
    </w:p>
  </w:endnote>
  <w:endnote w:type="continuationSeparator" w:id="0">
    <w:p w14:paraId="295A8292" w14:textId="77777777" w:rsidR="00F459D0" w:rsidRDefault="00F459D0"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444B42D3" w:rsidR="0019790D" w:rsidRPr="00BA303A" w:rsidRDefault="0019790D"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2.1 do SWZ – Projekt umowy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CB4172">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CB4172">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72C6" w14:textId="77777777" w:rsidR="00F459D0" w:rsidRDefault="00F459D0" w:rsidP="00F14FE5">
      <w:r>
        <w:separator/>
      </w:r>
    </w:p>
  </w:footnote>
  <w:footnote w:type="continuationSeparator" w:id="0">
    <w:p w14:paraId="71B70C2D" w14:textId="77777777" w:rsidR="00F459D0" w:rsidRDefault="00F459D0" w:rsidP="00F14FE5">
      <w:r>
        <w:continuationSeparator/>
      </w:r>
    </w:p>
  </w:footnote>
  <w:footnote w:id="1">
    <w:p w14:paraId="7D94D8F1"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19790D" w:rsidRDefault="0019790D" w:rsidP="00694EC1">
    <w:pPr>
      <w:pStyle w:val="Nagwek"/>
    </w:pPr>
  </w:p>
  <w:p w14:paraId="5FA87BC7" w14:textId="77777777" w:rsidR="0019790D" w:rsidRDefault="0019790D"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19790D" w:rsidRDefault="0019790D"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19790D" w:rsidRPr="00C73DE7" w:rsidRDefault="0019790D"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19790D" w:rsidRPr="00520CA9" w:rsidRDefault="0019790D"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19790D" w:rsidRPr="00694EC1" w:rsidRDefault="0019790D"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D6C4B2D6"/>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5722221C">
      <w:start w:val="1"/>
      <w:numFmt w:val="lowerLetter"/>
      <w:lvlText w:val="%3)"/>
      <w:lvlJc w:val="left"/>
      <w:pPr>
        <w:ind w:left="2586" w:hanging="180"/>
      </w:pPr>
      <w:rPr>
        <w:rFonts w:eastAsia="Calibri" w:hint="default"/>
        <w:b w:val="0"/>
        <w:bCs/>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6"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7"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4"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8"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7"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59"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2"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4"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5"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6"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8"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0"/>
  </w:num>
  <w:num w:numId="3">
    <w:abstractNumId w:val="17"/>
  </w:num>
  <w:num w:numId="4">
    <w:abstractNumId w:val="23"/>
  </w:num>
  <w:num w:numId="5">
    <w:abstractNumId w:val="85"/>
  </w:num>
  <w:num w:numId="6">
    <w:abstractNumId w:val="7"/>
  </w:num>
  <w:num w:numId="7">
    <w:abstractNumId w:val="44"/>
  </w:num>
  <w:num w:numId="8">
    <w:abstractNumId w:val="40"/>
  </w:num>
  <w:num w:numId="9">
    <w:abstractNumId w:val="38"/>
  </w:num>
  <w:num w:numId="10">
    <w:abstractNumId w:val="19"/>
  </w:num>
  <w:num w:numId="11">
    <w:abstractNumId w:val="59"/>
  </w:num>
  <w:num w:numId="12">
    <w:abstractNumId w:val="83"/>
  </w:num>
  <w:num w:numId="13">
    <w:abstractNumId w:val="46"/>
  </w:num>
  <w:num w:numId="14">
    <w:abstractNumId w:val="11"/>
  </w:num>
  <w:num w:numId="15">
    <w:abstractNumId w:val="79"/>
  </w:num>
  <w:num w:numId="16">
    <w:abstractNumId w:val="41"/>
  </w:num>
  <w:num w:numId="17">
    <w:abstractNumId w:val="18"/>
  </w:num>
  <w:num w:numId="18">
    <w:abstractNumId w:val="78"/>
  </w:num>
  <w:num w:numId="19">
    <w:abstractNumId w:val="37"/>
  </w:num>
  <w:num w:numId="20">
    <w:abstractNumId w:val="48"/>
  </w:num>
  <w:num w:numId="21">
    <w:abstractNumId w:val="34"/>
  </w:num>
  <w:num w:numId="22">
    <w:abstractNumId w:val="76"/>
  </w:num>
  <w:num w:numId="23">
    <w:abstractNumId w:val="16"/>
  </w:num>
  <w:num w:numId="24">
    <w:abstractNumId w:val="24"/>
  </w:num>
  <w:num w:numId="25">
    <w:abstractNumId w:val="42"/>
  </w:num>
  <w:num w:numId="26">
    <w:abstractNumId w:val="14"/>
  </w:num>
  <w:num w:numId="27">
    <w:abstractNumId w:val="57"/>
  </w:num>
  <w:num w:numId="28">
    <w:abstractNumId w:val="69"/>
  </w:num>
  <w:num w:numId="29">
    <w:abstractNumId w:val="13"/>
  </w:num>
  <w:num w:numId="30">
    <w:abstractNumId w:val="35"/>
  </w:num>
  <w:num w:numId="31">
    <w:abstractNumId w:val="80"/>
  </w:num>
  <w:num w:numId="32">
    <w:abstractNumId w:val="22"/>
  </w:num>
  <w:num w:numId="33">
    <w:abstractNumId w:val="50"/>
  </w:num>
  <w:num w:numId="34">
    <w:abstractNumId w:val="15"/>
  </w:num>
  <w:num w:numId="35">
    <w:abstractNumId w:val="55"/>
  </w:num>
  <w:num w:numId="36">
    <w:abstractNumId w:val="64"/>
  </w:num>
  <w:num w:numId="37">
    <w:abstractNumId w:val="29"/>
  </w:num>
  <w:num w:numId="38">
    <w:abstractNumId w:val="49"/>
  </w:num>
  <w:num w:numId="39">
    <w:abstractNumId w:val="27"/>
  </w:num>
  <w:num w:numId="40">
    <w:abstractNumId w:val="70"/>
  </w:num>
  <w:num w:numId="41">
    <w:abstractNumId w:val="12"/>
  </w:num>
  <w:num w:numId="42">
    <w:abstractNumId w:val="65"/>
  </w:num>
  <w:num w:numId="43">
    <w:abstractNumId w:val="53"/>
  </w:num>
  <w:num w:numId="44">
    <w:abstractNumId w:val="67"/>
  </w:num>
  <w:num w:numId="45">
    <w:abstractNumId w:val="73"/>
  </w:num>
  <w:num w:numId="46">
    <w:abstractNumId w:val="51"/>
  </w:num>
  <w:num w:numId="47">
    <w:abstractNumId w:val="54"/>
  </w:num>
  <w:num w:numId="48">
    <w:abstractNumId w:val="75"/>
  </w:num>
  <w:num w:numId="49">
    <w:abstractNumId w:val="10"/>
  </w:num>
  <w:num w:numId="50">
    <w:abstractNumId w:val="68"/>
  </w:num>
  <w:num w:numId="51">
    <w:abstractNumId w:val="84"/>
  </w:num>
  <w:num w:numId="52">
    <w:abstractNumId w:val="8"/>
  </w:num>
  <w:num w:numId="53">
    <w:abstractNumId w:val="81"/>
  </w:num>
  <w:num w:numId="54">
    <w:abstractNumId w:val="71"/>
  </w:num>
  <w:num w:numId="55">
    <w:abstractNumId w:val="74"/>
  </w:num>
  <w:num w:numId="56">
    <w:abstractNumId w:val="33"/>
  </w:num>
  <w:num w:numId="57">
    <w:abstractNumId w:val="26"/>
  </w:num>
  <w:num w:numId="58">
    <w:abstractNumId w:val="82"/>
  </w:num>
  <w:num w:numId="59">
    <w:abstractNumId w:val="43"/>
  </w:num>
  <w:num w:numId="60">
    <w:abstractNumId w:val="61"/>
  </w:num>
  <w:num w:numId="61">
    <w:abstractNumId w:val="56"/>
  </w:num>
  <w:num w:numId="62">
    <w:abstractNumId w:val="0"/>
  </w:num>
  <w:num w:numId="63">
    <w:abstractNumId w:val="1"/>
  </w:num>
  <w:num w:numId="64">
    <w:abstractNumId w:val="2"/>
  </w:num>
  <w:num w:numId="65">
    <w:abstractNumId w:val="3"/>
  </w:num>
  <w:num w:numId="66">
    <w:abstractNumId w:val="4"/>
  </w:num>
  <w:num w:numId="67">
    <w:abstractNumId w:val="28"/>
  </w:num>
  <w:num w:numId="68">
    <w:abstractNumId w:val="20"/>
  </w:num>
  <w:num w:numId="69">
    <w:abstractNumId w:val="66"/>
  </w:num>
  <w:num w:numId="70">
    <w:abstractNumId w:val="45"/>
  </w:num>
  <w:num w:numId="71">
    <w:abstractNumId w:val="62"/>
  </w:num>
  <w:num w:numId="72">
    <w:abstractNumId w:val="52"/>
  </w:num>
  <w:num w:numId="73">
    <w:abstractNumId w:val="72"/>
  </w:num>
  <w:num w:numId="74">
    <w:abstractNumId w:val="63"/>
  </w:num>
  <w:num w:numId="75">
    <w:abstractNumId w:val="21"/>
  </w:num>
  <w:num w:numId="76">
    <w:abstractNumId w:val="30"/>
  </w:num>
  <w:num w:numId="77">
    <w:abstractNumId w:val="5"/>
  </w:num>
  <w:num w:numId="78">
    <w:abstractNumId w:val="77"/>
  </w:num>
  <w:num w:numId="79">
    <w:abstractNumId w:val="25"/>
  </w:num>
  <w:num w:numId="80">
    <w:abstractNumId w:val="9"/>
  </w:num>
  <w:num w:numId="81">
    <w:abstractNumId w:val="36"/>
  </w:num>
  <w:num w:numId="82">
    <w:abstractNumId w:val="58"/>
  </w:num>
  <w:num w:numId="83">
    <w:abstractNumId w:val="47"/>
  </w:num>
  <w:num w:numId="84">
    <w:abstractNumId w:val="6"/>
  </w:num>
  <w:num w:numId="85">
    <w:abstractNumId w:val="32"/>
  </w:num>
  <w:num w:numId="86">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234E1"/>
    <w:rsid w:val="000300CF"/>
    <w:rsid w:val="00030681"/>
    <w:rsid w:val="00032925"/>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17AFD"/>
    <w:rsid w:val="00123174"/>
    <w:rsid w:val="0012499F"/>
    <w:rsid w:val="0012647B"/>
    <w:rsid w:val="00127124"/>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9790D"/>
    <w:rsid w:val="001A1BA4"/>
    <w:rsid w:val="001A303E"/>
    <w:rsid w:val="001A607B"/>
    <w:rsid w:val="001A63EE"/>
    <w:rsid w:val="001A6638"/>
    <w:rsid w:val="001A6B5D"/>
    <w:rsid w:val="001B3B5C"/>
    <w:rsid w:val="001B525A"/>
    <w:rsid w:val="001B55A0"/>
    <w:rsid w:val="001C0C10"/>
    <w:rsid w:val="001C659D"/>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096D"/>
    <w:rsid w:val="00211533"/>
    <w:rsid w:val="00213FE8"/>
    <w:rsid w:val="002152B1"/>
    <w:rsid w:val="002179EE"/>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B28A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5546F"/>
    <w:rsid w:val="00363942"/>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7145"/>
    <w:rsid w:val="003E09D1"/>
    <w:rsid w:val="003E39B1"/>
    <w:rsid w:val="003E5E9F"/>
    <w:rsid w:val="003F03F5"/>
    <w:rsid w:val="003F736B"/>
    <w:rsid w:val="003F7C80"/>
    <w:rsid w:val="0040267B"/>
    <w:rsid w:val="00402F48"/>
    <w:rsid w:val="0040488B"/>
    <w:rsid w:val="004049DE"/>
    <w:rsid w:val="004068AA"/>
    <w:rsid w:val="00412614"/>
    <w:rsid w:val="00415D54"/>
    <w:rsid w:val="00420BAD"/>
    <w:rsid w:val="00424D5C"/>
    <w:rsid w:val="0042565F"/>
    <w:rsid w:val="00425D9D"/>
    <w:rsid w:val="00426C4F"/>
    <w:rsid w:val="00440EB8"/>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4E29"/>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70A7"/>
    <w:rsid w:val="00520EAE"/>
    <w:rsid w:val="0052271C"/>
    <w:rsid w:val="00533FA2"/>
    <w:rsid w:val="00534A20"/>
    <w:rsid w:val="005400FD"/>
    <w:rsid w:val="005406BF"/>
    <w:rsid w:val="00541EAD"/>
    <w:rsid w:val="00543103"/>
    <w:rsid w:val="005434BA"/>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C6D3E"/>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1719C"/>
    <w:rsid w:val="00621C0F"/>
    <w:rsid w:val="0062529E"/>
    <w:rsid w:val="00626772"/>
    <w:rsid w:val="00630AD8"/>
    <w:rsid w:val="0063209E"/>
    <w:rsid w:val="006320FF"/>
    <w:rsid w:val="00632310"/>
    <w:rsid w:val="00632322"/>
    <w:rsid w:val="0063407F"/>
    <w:rsid w:val="00636C96"/>
    <w:rsid w:val="00637318"/>
    <w:rsid w:val="00640508"/>
    <w:rsid w:val="006413D6"/>
    <w:rsid w:val="00641923"/>
    <w:rsid w:val="00644B8A"/>
    <w:rsid w:val="006458B8"/>
    <w:rsid w:val="00653ADB"/>
    <w:rsid w:val="00655E06"/>
    <w:rsid w:val="00661149"/>
    <w:rsid w:val="0066233F"/>
    <w:rsid w:val="00665F49"/>
    <w:rsid w:val="00670D92"/>
    <w:rsid w:val="00671BCF"/>
    <w:rsid w:val="00671E52"/>
    <w:rsid w:val="0067208E"/>
    <w:rsid w:val="006723D7"/>
    <w:rsid w:val="00680CA8"/>
    <w:rsid w:val="006854B9"/>
    <w:rsid w:val="00690DB0"/>
    <w:rsid w:val="0069261C"/>
    <w:rsid w:val="00694EC1"/>
    <w:rsid w:val="006A00ED"/>
    <w:rsid w:val="006A08C1"/>
    <w:rsid w:val="006A2698"/>
    <w:rsid w:val="006A291C"/>
    <w:rsid w:val="006A2C29"/>
    <w:rsid w:val="006A3530"/>
    <w:rsid w:val="006A6CEC"/>
    <w:rsid w:val="006B011B"/>
    <w:rsid w:val="006B01A9"/>
    <w:rsid w:val="006B21A5"/>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5141"/>
    <w:rsid w:val="007769B5"/>
    <w:rsid w:val="00783B6D"/>
    <w:rsid w:val="00786F6B"/>
    <w:rsid w:val="00793F80"/>
    <w:rsid w:val="007A369E"/>
    <w:rsid w:val="007A50BE"/>
    <w:rsid w:val="007A686A"/>
    <w:rsid w:val="007A7955"/>
    <w:rsid w:val="007B35CE"/>
    <w:rsid w:val="007C062E"/>
    <w:rsid w:val="007C32AB"/>
    <w:rsid w:val="007C578C"/>
    <w:rsid w:val="007C7D33"/>
    <w:rsid w:val="007D280D"/>
    <w:rsid w:val="007E07B1"/>
    <w:rsid w:val="007E13E2"/>
    <w:rsid w:val="007E29C6"/>
    <w:rsid w:val="007E60CD"/>
    <w:rsid w:val="007E6D53"/>
    <w:rsid w:val="007F1949"/>
    <w:rsid w:val="007F21BC"/>
    <w:rsid w:val="007F471A"/>
    <w:rsid w:val="00805590"/>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509E3"/>
    <w:rsid w:val="00855040"/>
    <w:rsid w:val="00855E87"/>
    <w:rsid w:val="0085756C"/>
    <w:rsid w:val="0086061E"/>
    <w:rsid w:val="00861EFF"/>
    <w:rsid w:val="00863E0C"/>
    <w:rsid w:val="00864F80"/>
    <w:rsid w:val="008657F1"/>
    <w:rsid w:val="008726D0"/>
    <w:rsid w:val="008763D8"/>
    <w:rsid w:val="008833B9"/>
    <w:rsid w:val="00884C18"/>
    <w:rsid w:val="00885B6F"/>
    <w:rsid w:val="008911E7"/>
    <w:rsid w:val="008973F0"/>
    <w:rsid w:val="008A3735"/>
    <w:rsid w:val="008A7336"/>
    <w:rsid w:val="008B0AE7"/>
    <w:rsid w:val="008B2BFD"/>
    <w:rsid w:val="008B37A8"/>
    <w:rsid w:val="008B4F1E"/>
    <w:rsid w:val="008B59BC"/>
    <w:rsid w:val="008B648A"/>
    <w:rsid w:val="008B7C50"/>
    <w:rsid w:val="008C3626"/>
    <w:rsid w:val="008C3D24"/>
    <w:rsid w:val="008C6917"/>
    <w:rsid w:val="008C76FC"/>
    <w:rsid w:val="008D561B"/>
    <w:rsid w:val="008D6C31"/>
    <w:rsid w:val="008E6238"/>
    <w:rsid w:val="008F10B1"/>
    <w:rsid w:val="008F1609"/>
    <w:rsid w:val="008F32CC"/>
    <w:rsid w:val="008F3414"/>
    <w:rsid w:val="008F53C3"/>
    <w:rsid w:val="008F7983"/>
    <w:rsid w:val="0090016C"/>
    <w:rsid w:val="0090320E"/>
    <w:rsid w:val="00904F12"/>
    <w:rsid w:val="00906A75"/>
    <w:rsid w:val="00910FE1"/>
    <w:rsid w:val="0091349E"/>
    <w:rsid w:val="00916953"/>
    <w:rsid w:val="00921662"/>
    <w:rsid w:val="00921C9F"/>
    <w:rsid w:val="00921EE7"/>
    <w:rsid w:val="00923026"/>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2C7"/>
    <w:rsid w:val="00BD5861"/>
    <w:rsid w:val="00BD6284"/>
    <w:rsid w:val="00BE109C"/>
    <w:rsid w:val="00BE351C"/>
    <w:rsid w:val="00BE4FAC"/>
    <w:rsid w:val="00BE7ECD"/>
    <w:rsid w:val="00BE7F3F"/>
    <w:rsid w:val="00BF30F1"/>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15E4"/>
    <w:rsid w:val="00C95812"/>
    <w:rsid w:val="00C96516"/>
    <w:rsid w:val="00C969BE"/>
    <w:rsid w:val="00CA0884"/>
    <w:rsid w:val="00CA104F"/>
    <w:rsid w:val="00CA3C1D"/>
    <w:rsid w:val="00CA4214"/>
    <w:rsid w:val="00CB4172"/>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91881"/>
    <w:rsid w:val="00D94417"/>
    <w:rsid w:val="00DA53DD"/>
    <w:rsid w:val="00DA55C4"/>
    <w:rsid w:val="00DA7434"/>
    <w:rsid w:val="00DB06C4"/>
    <w:rsid w:val="00DB0E74"/>
    <w:rsid w:val="00DB3FAC"/>
    <w:rsid w:val="00DB4F35"/>
    <w:rsid w:val="00DB5E3E"/>
    <w:rsid w:val="00DC4FF7"/>
    <w:rsid w:val="00DC77E3"/>
    <w:rsid w:val="00DD4332"/>
    <w:rsid w:val="00DD6F13"/>
    <w:rsid w:val="00DD7CC7"/>
    <w:rsid w:val="00DE5A9C"/>
    <w:rsid w:val="00DF3ACD"/>
    <w:rsid w:val="00DF3AE7"/>
    <w:rsid w:val="00DF4F8B"/>
    <w:rsid w:val="00DF76F9"/>
    <w:rsid w:val="00E01F82"/>
    <w:rsid w:val="00E02C3F"/>
    <w:rsid w:val="00E02E90"/>
    <w:rsid w:val="00E04083"/>
    <w:rsid w:val="00E11E40"/>
    <w:rsid w:val="00E14773"/>
    <w:rsid w:val="00E20868"/>
    <w:rsid w:val="00E20FA9"/>
    <w:rsid w:val="00E24641"/>
    <w:rsid w:val="00E2741D"/>
    <w:rsid w:val="00E31353"/>
    <w:rsid w:val="00E357F7"/>
    <w:rsid w:val="00E35A84"/>
    <w:rsid w:val="00E4151A"/>
    <w:rsid w:val="00E43FEE"/>
    <w:rsid w:val="00E4570B"/>
    <w:rsid w:val="00E46530"/>
    <w:rsid w:val="00E47434"/>
    <w:rsid w:val="00E5286C"/>
    <w:rsid w:val="00E544EF"/>
    <w:rsid w:val="00E55202"/>
    <w:rsid w:val="00E56BB7"/>
    <w:rsid w:val="00E5751E"/>
    <w:rsid w:val="00E57BFA"/>
    <w:rsid w:val="00E60BA3"/>
    <w:rsid w:val="00E60E9F"/>
    <w:rsid w:val="00E67D50"/>
    <w:rsid w:val="00E725BE"/>
    <w:rsid w:val="00E72705"/>
    <w:rsid w:val="00E729B3"/>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885"/>
    <w:rsid w:val="00EF5759"/>
    <w:rsid w:val="00EF5FDA"/>
    <w:rsid w:val="00F05276"/>
    <w:rsid w:val="00F07AA7"/>
    <w:rsid w:val="00F10815"/>
    <w:rsid w:val="00F13646"/>
    <w:rsid w:val="00F14FE5"/>
    <w:rsid w:val="00F24CD0"/>
    <w:rsid w:val="00F256F8"/>
    <w:rsid w:val="00F31551"/>
    <w:rsid w:val="00F31B4B"/>
    <w:rsid w:val="00F440C4"/>
    <w:rsid w:val="00F4421F"/>
    <w:rsid w:val="00F4584A"/>
    <w:rsid w:val="00F459D0"/>
    <w:rsid w:val="00F461D9"/>
    <w:rsid w:val="00F4669A"/>
    <w:rsid w:val="00F53A2E"/>
    <w:rsid w:val="00F610C9"/>
    <w:rsid w:val="00F6113F"/>
    <w:rsid w:val="00F636E2"/>
    <w:rsid w:val="00F70910"/>
    <w:rsid w:val="00F70CE7"/>
    <w:rsid w:val="00F80578"/>
    <w:rsid w:val="00F80774"/>
    <w:rsid w:val="00F825A2"/>
    <w:rsid w:val="00F83284"/>
    <w:rsid w:val="00F835D9"/>
    <w:rsid w:val="00F8426B"/>
    <w:rsid w:val="00F8530C"/>
    <w:rsid w:val="00F87250"/>
    <w:rsid w:val="00F90987"/>
    <w:rsid w:val="00FA13E3"/>
    <w:rsid w:val="00FA632B"/>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89B3A5-7624-48A1-8201-AD7FC56A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12857</Words>
  <Characters>77147</Characters>
  <Application>Microsoft Office Word</Application>
  <DocSecurity>4</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2</cp:revision>
  <dcterms:created xsi:type="dcterms:W3CDTF">2022-02-11T12:11:00Z</dcterms:created>
  <dcterms:modified xsi:type="dcterms:W3CDTF">2022-02-11T12:11:00Z</dcterms:modified>
</cp:coreProperties>
</file>